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31" w:rsidRPr="00EA2531" w:rsidRDefault="00EA2531" w:rsidP="00EA2531">
      <w:pPr>
        <w:shd w:val="clear" w:color="auto" w:fill="FFFFFF"/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</w:pP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Quy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định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của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chính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phủ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về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các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đơn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vị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đo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lường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chính</w:t>
      </w:r>
      <w:proofErr w:type="spellEnd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 xml:space="preserve"> </w:t>
      </w:r>
      <w:proofErr w:type="spellStart"/>
      <w:r w:rsidRPr="00EA2531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</w:rPr>
        <w:t>thức</w:t>
      </w:r>
      <w:proofErr w:type="spellEnd"/>
    </w:p>
    <w:p w:rsidR="00EA2531" w:rsidRDefault="00EA2531" w:rsidP="00EA2531">
      <w:pPr>
        <w:pStyle w:val="NormalWeb"/>
        <w:shd w:val="clear" w:color="auto" w:fill="FFFFFF"/>
        <w:spacing w:before="0" w:beforeAutospacing="0" w:after="150" w:afterAutospacing="0" w:line="225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proofErr w:type="spellStart"/>
      <w:r>
        <w:rPr>
          <w:rFonts w:ascii="Helvetica" w:hAnsi="Helvetica" w:cs="Helvetica"/>
          <w:color w:val="414141"/>
          <w:sz w:val="20"/>
          <w:szCs w:val="20"/>
        </w:rPr>
        <w:t>Đơn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vị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đo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lường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chính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thức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Ngày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15/8/2007,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Chính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phủ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ban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hành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Nghị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số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134/2007/NĐ-CP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quy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về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đơn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vị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đo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lường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chính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thức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nước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Cộng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hoà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Xã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hội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Chủ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nghĩa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Việt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Nam.</w:t>
      </w:r>
    </w:p>
    <w:p w:rsidR="00EA2531" w:rsidRDefault="00EA2531" w:rsidP="00EA2531">
      <w:pPr>
        <w:pStyle w:val="NormalWeb"/>
        <w:shd w:val="clear" w:color="auto" w:fill="FFFFFF"/>
        <w:spacing w:before="0" w:beforeAutospacing="0" w:after="150" w:afterAutospacing="0" w:line="225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 xml:space="preserve">Theo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đó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Hệ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đơn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vị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SI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là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hệ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đơn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vị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đo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lường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quốc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tế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bắt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buộc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sử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dụng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trong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văn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bản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do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cơ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quan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nhà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nước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ban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hành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trên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phương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tiện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đo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sử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dụng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trong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hoạt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động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kiểm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thanh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và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các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hoạt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động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công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vụ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khác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cơ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quan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nhà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nước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ghi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nhãn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hàng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hoá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đóng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gói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sẵn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theo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lượng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thuộc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diện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phải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kiểm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tra</w:t>
      </w:r>
      <w:proofErr w:type="spellEnd"/>
      <w:proofErr w:type="gramStart"/>
      <w:r>
        <w:rPr>
          <w:rFonts w:ascii="Helvetica" w:hAnsi="Helvetica" w:cs="Helvetica"/>
          <w:color w:val="414141"/>
          <w:sz w:val="20"/>
          <w:szCs w:val="20"/>
        </w:rPr>
        <w:t>, ...</w:t>
      </w:r>
      <w:proofErr w:type="gramEnd"/>
    </w:p>
    <w:p w:rsidR="00EA2531" w:rsidRDefault="00EA2531" w:rsidP="00EA2531">
      <w:pPr>
        <w:pStyle w:val="NormalWeb"/>
        <w:shd w:val="clear" w:color="auto" w:fill="FFFFFF"/>
        <w:spacing w:before="0" w:beforeAutospacing="0" w:after="150" w:afterAutospacing="0" w:line="225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proofErr w:type="spellStart"/>
      <w:r>
        <w:rPr>
          <w:rFonts w:ascii="Helvetica" w:hAnsi="Helvetica" w:cs="Helvetica"/>
          <w:color w:val="414141"/>
          <w:sz w:val="20"/>
          <w:szCs w:val="20"/>
        </w:rPr>
        <w:t>Trong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trường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hợp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tổ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chức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cá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nhân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nước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ngoài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nhập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khẩu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hàng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hoá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Việt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Nam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có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yêu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cầu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về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đơn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vị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đo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lường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khác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với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quy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tại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Nghị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này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được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ghi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trong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hợp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đồng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mua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bán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hàng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hóa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và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chịu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trách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nhiệm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về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yêu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cầu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mình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thì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tổ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chức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cá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nhân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xuất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khẩu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hàng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hoá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được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thực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hiện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theo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hợp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đồng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với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điều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kiện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yêu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cầu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này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không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vi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phạm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pháp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luật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nước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nhập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khẩu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và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các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quy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định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khác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của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pháp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luật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14141"/>
          <w:sz w:val="20"/>
          <w:szCs w:val="20"/>
        </w:rPr>
        <w:t>Việt</w:t>
      </w:r>
      <w:proofErr w:type="spellEnd"/>
      <w:r>
        <w:rPr>
          <w:rFonts w:ascii="Helvetica" w:hAnsi="Helvetica" w:cs="Helvetica"/>
          <w:color w:val="414141"/>
          <w:sz w:val="20"/>
          <w:szCs w:val="20"/>
        </w:rPr>
        <w:t xml:space="preserve"> Nam.</w:t>
      </w:r>
    </w:p>
    <w:p w:rsidR="00EA2531" w:rsidRDefault="00EA2531" w:rsidP="00EA2531">
      <w:pPr>
        <w:pStyle w:val="Heading2"/>
        <w:shd w:val="clear" w:color="auto" w:fill="FFFFFF"/>
        <w:spacing w:before="0" w:after="150" w:line="225" w:lineRule="atLeast"/>
        <w:jc w:val="both"/>
        <w:rPr>
          <w:rFonts w:ascii="Helvetica" w:hAnsi="Helvetica" w:cs="Helvetica"/>
          <w:color w:val="414141"/>
          <w:sz w:val="20"/>
          <w:szCs w:val="20"/>
        </w:rPr>
      </w:pPr>
      <w:r>
        <w:rPr>
          <w:rFonts w:ascii="Helvetica" w:hAnsi="Helvetica" w:cs="Helvetica"/>
          <w:color w:val="414141"/>
          <w:sz w:val="20"/>
          <w:szCs w:val="20"/>
        </w:rPr>
        <w:t>BẢNG ĐƠN VỊ ĐO LƯỜNG CHÍNH THỨC</w:t>
      </w:r>
    </w:p>
    <w:tbl>
      <w:tblPr>
        <w:tblW w:w="9900" w:type="dxa"/>
        <w:tblBorders>
          <w:top w:val="single" w:sz="6" w:space="0" w:color="D82F24"/>
          <w:left w:val="single" w:sz="6" w:space="0" w:color="D82F24"/>
          <w:bottom w:val="single" w:sz="6" w:space="0" w:color="D82F24"/>
          <w:right w:val="single" w:sz="6" w:space="0" w:color="D82F2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727"/>
        <w:gridCol w:w="1606"/>
        <w:gridCol w:w="1532"/>
        <w:gridCol w:w="3175"/>
      </w:tblGrid>
      <w:tr w:rsidR="00EA2531" w:rsidTr="00EA2531">
        <w:tc>
          <w:tcPr>
            <w:tcW w:w="0" w:type="auto"/>
            <w:vMerge w:val="restart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spacing w:line="257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spacing w:line="257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Đại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spacing w:line="257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vị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spacing w:line="257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Thể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hiện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theo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cơ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bản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thuộc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hệ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SI</w:t>
            </w:r>
          </w:p>
        </w:tc>
        <w:bookmarkStart w:id="0" w:name="_GoBack"/>
        <w:bookmarkEnd w:id="0"/>
      </w:tr>
      <w:tr w:rsidR="00EA2531" w:rsidTr="00EA2531">
        <w:tc>
          <w:tcPr>
            <w:tcW w:w="0" w:type="auto"/>
            <w:vMerge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vAlign w:val="center"/>
            <w:hideMark/>
          </w:tcPr>
          <w:p w:rsidR="00EA2531" w:rsidRDefault="00EA253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vAlign w:val="center"/>
            <w:hideMark/>
          </w:tcPr>
          <w:p w:rsidR="00EA2531" w:rsidRDefault="00EA253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spacing w:line="257" w:lineRule="atLeast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spacing w:line="257" w:lineRule="atLeast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Ký</w:t>
            </w:r>
            <w:proofErr w:type="spellEnd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FFFFFF"/>
                <w:sz w:val="18"/>
                <w:szCs w:val="18"/>
              </w:rPr>
              <w:t>hiệu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D82F24"/>
            <w:vAlign w:val="center"/>
            <w:hideMark/>
          </w:tcPr>
          <w:p w:rsidR="00EA2531" w:rsidRDefault="00EA2531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EA2531" w:rsidTr="00EA2531">
        <w:tc>
          <w:tcPr>
            <w:tcW w:w="0" w:type="auto"/>
            <w:gridSpan w:val="5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1.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không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gian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thời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gian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và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hiện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tượng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tuần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hoàn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góc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phẳng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góc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radian</w:t>
            </w:r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rad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m/m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góc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steradian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m2/m2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tích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m.m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thể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tích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(dung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tích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m3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m.m.m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tần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số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héc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Hz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vận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tốc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góc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radian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rad/s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gia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tốc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góc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radian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bình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phương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rad/s2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vận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tốc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m/s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m.s-1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gia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tốc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bình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phương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m/s2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m.s-2</w:t>
            </w:r>
          </w:p>
        </w:tc>
      </w:tr>
      <w:tr w:rsidR="00EA2531" w:rsidTr="00EA2531">
        <w:tc>
          <w:tcPr>
            <w:tcW w:w="0" w:type="auto"/>
            <w:gridSpan w:val="5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2.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cơ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theo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chiều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dài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mật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dài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kg/m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kg.m-1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theo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bề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mặt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mật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mặt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kg/m2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kg.m-2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riêng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mật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kg/m3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kg.m-3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lực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niutơn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mômen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lực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niutơn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N.m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áp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ứng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pascan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m-1.kg.s-2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nhớt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lực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pascan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Pa.s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m-1.kg.s-1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nhớt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m2/s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năng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19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lưu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thể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tích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m3/s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m3.s-1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lưu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kg/s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kg.s-1</w:t>
            </w:r>
          </w:p>
        </w:tc>
      </w:tr>
      <w:tr w:rsidR="00EA2531" w:rsidTr="00EA2531">
        <w:tc>
          <w:tcPr>
            <w:tcW w:w="0" w:type="auto"/>
            <w:gridSpan w:val="5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3.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Celsius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Celsius</w:t>
            </w:r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oC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t = T - T0;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trong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đó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t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là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Celcius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T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là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học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và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T0 =273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,15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riêng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J/kg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dung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kenvin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J/K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m2.kg.s-2.K-1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dung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dung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riêng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kenvin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J/(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kg.K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m2.s-2.K-1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bề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mặt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mật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W/m2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hệ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số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truyền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kenvin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W/(m2.K)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kg.s-3.K-1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dẫn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hệ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số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dẫn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kenvin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W/(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m.K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m.kg.s-3.K-1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khuyếch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tán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nhiệt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m2/s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m2.s-1</w:t>
            </w:r>
          </w:p>
        </w:tc>
      </w:tr>
      <w:tr w:rsidR="00EA2531" w:rsidTr="00EA2531">
        <w:tc>
          <w:tcPr>
            <w:tcW w:w="0" w:type="auto"/>
            <w:gridSpan w:val="5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4.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và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từ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tích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culông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s.A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thế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hiệu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thế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áp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sức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vôn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V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m2.kg.s-3.A-1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cường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trường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vôn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V/m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m.kg.s-3.A-1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trở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ôm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m2.kg.s-3.A-2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dẫn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dẫn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simen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m-2.kg-1.s3.A2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dịch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culông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s.A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mật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dịch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culông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C/m2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m-2.s.A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năng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cường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trường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ampe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A/m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m-1.A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dung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fara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m-2.kg-1.s4.A2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tự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cảm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henry</w:t>
            </w:r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H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m2.kg.s-2.A-2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vebe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Wb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m2.kg.s-2.A-1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mật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cảm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ứng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tesla</w:t>
            </w:r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kg.s-2.A-1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ampe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tác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dụng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biểu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kiến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vôn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ampe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V.A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kháng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</w:t>
            </w:r>
          </w:p>
        </w:tc>
      </w:tr>
      <w:tr w:rsidR="00EA2531" w:rsidTr="00EA2531">
        <w:tc>
          <w:tcPr>
            <w:tcW w:w="0" w:type="auto"/>
            <w:gridSpan w:val="5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5.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ánh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sáng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và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bức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xạ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điện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từ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có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liên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quan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năng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bức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xạ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bức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xạ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bức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xạ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cường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bức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xạ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steradian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W/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chói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năng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steradian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W/(sr.m2)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năng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bức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xạ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W/m2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rọi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năng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W/m2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chói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candela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cd/m2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m-2.cd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quang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thông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lumen</w:t>
            </w:r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lm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cd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lumen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lm.s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cd.s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năng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phát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sáng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trưng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lumen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lm/m2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m-2.cd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59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rọi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lux</w:t>
            </w:r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lx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m-2.cd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rọi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lux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lx.s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m-2.cd.s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tụ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quang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lực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điôp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điôp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m-1</w:t>
            </w:r>
          </w:p>
        </w:tc>
      </w:tr>
      <w:tr w:rsidR="00EA2531" w:rsidTr="00EA2531">
        <w:tc>
          <w:tcPr>
            <w:tcW w:w="0" w:type="auto"/>
            <w:gridSpan w:val="5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tần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số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héc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Hz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áp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pascan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m-1.kg.s-2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vận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tốc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truyền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m/s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m.s-1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mật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năng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lượng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J/m3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m-1.kg.s-2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suất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cường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vuông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W/m2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kg.s-3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trở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kháng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sức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cản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âm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học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pascan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Pa.s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/m3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m-4.kg.s-1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69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trở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kháng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cơ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sức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cản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cơ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học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niutơn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giây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N.s/m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kg.s-1</w:t>
            </w:r>
          </w:p>
        </w:tc>
      </w:tr>
      <w:tr w:rsidR="00EA2531" w:rsidTr="00EA2531">
        <w:tc>
          <w:tcPr>
            <w:tcW w:w="0" w:type="auto"/>
            <w:gridSpan w:val="5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7.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hoá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lý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và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vật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lý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phân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tử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0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nguyên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tử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phân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tử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2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nồng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mol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khối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mol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/m3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m-3.mol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hoá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thế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J/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mol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m2.kg.s-2.mol-1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4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hoạt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xúc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tác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katal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kat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s-1.mol</w:t>
            </w:r>
          </w:p>
        </w:tc>
      </w:tr>
      <w:tr w:rsidR="00EA2531" w:rsidTr="00EA2531">
        <w:tc>
          <w:tcPr>
            <w:tcW w:w="0" w:type="auto"/>
            <w:gridSpan w:val="5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8.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Đơn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vị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bức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xạ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 ion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hoá</w:t>
            </w:r>
            <w:proofErr w:type="spellEnd"/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5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phóng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xạ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hoạt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độ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becơren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Bq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s-1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6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liều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hấp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thụ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kerma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gray</w:t>
            </w:r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Gy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7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liều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tương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đương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sivơ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m2.s-2</w:t>
            </w:r>
          </w:p>
        </w:tc>
      </w:tr>
      <w:tr w:rsidR="00EA2531" w:rsidTr="00EA2531">
        <w:tc>
          <w:tcPr>
            <w:tcW w:w="6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numPr>
                <w:ilvl w:val="0"/>
                <w:numId w:val="78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liều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chiếu</w:t>
            </w:r>
            <w:proofErr w:type="spellEnd"/>
          </w:p>
        </w:tc>
        <w:tc>
          <w:tcPr>
            <w:tcW w:w="129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culông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trên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kilôgam</w:t>
            </w:r>
            <w:proofErr w:type="spellEnd"/>
          </w:p>
        </w:tc>
        <w:tc>
          <w:tcPr>
            <w:tcW w:w="123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C/kg</w:t>
            </w:r>
          </w:p>
        </w:tc>
        <w:tc>
          <w:tcPr>
            <w:tcW w:w="2550" w:type="dxa"/>
            <w:tcBorders>
              <w:top w:val="single" w:sz="6" w:space="0" w:color="D82F24"/>
              <w:left w:val="single" w:sz="6" w:space="0" w:color="D82F24"/>
              <w:bottom w:val="single" w:sz="6" w:space="0" w:color="D82F24"/>
              <w:right w:val="single" w:sz="6" w:space="0" w:color="D82F24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EA2531" w:rsidRDefault="00EA2531">
            <w:pPr>
              <w:pStyle w:val="NormalWeb"/>
              <w:spacing w:before="0" w:beforeAutospacing="0" w:after="150" w:afterAutospacing="0" w:line="257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kg-1.s.A</w:t>
            </w:r>
          </w:p>
          <w:p w:rsidR="00EA2531" w:rsidRDefault="00EA2531" w:rsidP="00EA2531">
            <w:pPr>
              <w:spacing w:line="257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EA2531" w:rsidRDefault="00EA2531" w:rsidP="00EA2531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57D1" w:rsidRPr="00EA2531" w:rsidRDefault="00EA2531">
      <w:pPr>
        <w:rPr>
          <w:rFonts w:ascii="Times New Roman" w:hAnsi="Times New Roman" w:cs="Times New Roman"/>
          <w:sz w:val="28"/>
          <w:szCs w:val="28"/>
        </w:rPr>
      </w:pPr>
    </w:p>
    <w:sectPr w:rsidR="00A157D1" w:rsidRPr="00EA2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34"/>
    <w:multiLevelType w:val="multilevel"/>
    <w:tmpl w:val="151E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B5425"/>
    <w:multiLevelType w:val="multilevel"/>
    <w:tmpl w:val="CA6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50CF"/>
    <w:multiLevelType w:val="multilevel"/>
    <w:tmpl w:val="DD7A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15D38"/>
    <w:multiLevelType w:val="multilevel"/>
    <w:tmpl w:val="CD1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73902"/>
    <w:multiLevelType w:val="multilevel"/>
    <w:tmpl w:val="935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04131"/>
    <w:multiLevelType w:val="multilevel"/>
    <w:tmpl w:val="6FF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0357B"/>
    <w:multiLevelType w:val="multilevel"/>
    <w:tmpl w:val="F6C8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46542"/>
    <w:multiLevelType w:val="multilevel"/>
    <w:tmpl w:val="AF4C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7337D"/>
    <w:multiLevelType w:val="multilevel"/>
    <w:tmpl w:val="0D1A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E1433"/>
    <w:multiLevelType w:val="multilevel"/>
    <w:tmpl w:val="5BEE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3D4199"/>
    <w:multiLevelType w:val="multilevel"/>
    <w:tmpl w:val="7CF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94D7F"/>
    <w:multiLevelType w:val="multilevel"/>
    <w:tmpl w:val="690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E1A92"/>
    <w:multiLevelType w:val="multilevel"/>
    <w:tmpl w:val="1AAE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66BEC"/>
    <w:multiLevelType w:val="multilevel"/>
    <w:tmpl w:val="06EE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2654E"/>
    <w:multiLevelType w:val="multilevel"/>
    <w:tmpl w:val="5EC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D039D3"/>
    <w:multiLevelType w:val="multilevel"/>
    <w:tmpl w:val="32E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1A70CD"/>
    <w:multiLevelType w:val="multilevel"/>
    <w:tmpl w:val="74F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721F71"/>
    <w:multiLevelType w:val="multilevel"/>
    <w:tmpl w:val="C8E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33869"/>
    <w:multiLevelType w:val="multilevel"/>
    <w:tmpl w:val="993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D34E36"/>
    <w:multiLevelType w:val="multilevel"/>
    <w:tmpl w:val="793C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4432FB"/>
    <w:multiLevelType w:val="multilevel"/>
    <w:tmpl w:val="141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0731E7"/>
    <w:multiLevelType w:val="multilevel"/>
    <w:tmpl w:val="4CA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5C779E"/>
    <w:multiLevelType w:val="multilevel"/>
    <w:tmpl w:val="751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6B3845"/>
    <w:multiLevelType w:val="multilevel"/>
    <w:tmpl w:val="CD7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605353"/>
    <w:multiLevelType w:val="multilevel"/>
    <w:tmpl w:val="AAE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080E80"/>
    <w:multiLevelType w:val="multilevel"/>
    <w:tmpl w:val="ECD8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88731F"/>
    <w:multiLevelType w:val="multilevel"/>
    <w:tmpl w:val="80A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B97929"/>
    <w:multiLevelType w:val="multilevel"/>
    <w:tmpl w:val="DD34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294A2E"/>
    <w:multiLevelType w:val="multilevel"/>
    <w:tmpl w:val="39C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AF7289"/>
    <w:multiLevelType w:val="multilevel"/>
    <w:tmpl w:val="6C3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F87ED7"/>
    <w:multiLevelType w:val="multilevel"/>
    <w:tmpl w:val="803C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FC17A6"/>
    <w:multiLevelType w:val="multilevel"/>
    <w:tmpl w:val="05E8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0A2EF5"/>
    <w:multiLevelType w:val="multilevel"/>
    <w:tmpl w:val="41E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2F0B4C"/>
    <w:multiLevelType w:val="multilevel"/>
    <w:tmpl w:val="164A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AB45EC"/>
    <w:multiLevelType w:val="multilevel"/>
    <w:tmpl w:val="489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9D02AC"/>
    <w:multiLevelType w:val="multilevel"/>
    <w:tmpl w:val="4E52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8864FB"/>
    <w:multiLevelType w:val="multilevel"/>
    <w:tmpl w:val="72B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01009A"/>
    <w:multiLevelType w:val="multilevel"/>
    <w:tmpl w:val="79D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6B6AC8"/>
    <w:multiLevelType w:val="multilevel"/>
    <w:tmpl w:val="B33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73037B"/>
    <w:multiLevelType w:val="multilevel"/>
    <w:tmpl w:val="771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2E4ABD"/>
    <w:multiLevelType w:val="multilevel"/>
    <w:tmpl w:val="0EF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044FAF"/>
    <w:multiLevelType w:val="multilevel"/>
    <w:tmpl w:val="8B50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292821"/>
    <w:multiLevelType w:val="multilevel"/>
    <w:tmpl w:val="6D22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3143F8"/>
    <w:multiLevelType w:val="multilevel"/>
    <w:tmpl w:val="6D9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C851E1"/>
    <w:multiLevelType w:val="multilevel"/>
    <w:tmpl w:val="C6C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7D122D"/>
    <w:multiLevelType w:val="multilevel"/>
    <w:tmpl w:val="DE3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9C22F2"/>
    <w:multiLevelType w:val="multilevel"/>
    <w:tmpl w:val="9AD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1A584C"/>
    <w:multiLevelType w:val="multilevel"/>
    <w:tmpl w:val="4EF2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CA0BD3"/>
    <w:multiLevelType w:val="multilevel"/>
    <w:tmpl w:val="A5B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4750B4"/>
    <w:multiLevelType w:val="multilevel"/>
    <w:tmpl w:val="A8E2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437BD7"/>
    <w:multiLevelType w:val="multilevel"/>
    <w:tmpl w:val="8DA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907343"/>
    <w:multiLevelType w:val="multilevel"/>
    <w:tmpl w:val="665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DA7FB9"/>
    <w:multiLevelType w:val="multilevel"/>
    <w:tmpl w:val="8718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015F89"/>
    <w:multiLevelType w:val="multilevel"/>
    <w:tmpl w:val="A1D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E57D87"/>
    <w:multiLevelType w:val="multilevel"/>
    <w:tmpl w:val="0F5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C10681"/>
    <w:multiLevelType w:val="multilevel"/>
    <w:tmpl w:val="89CC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134560"/>
    <w:multiLevelType w:val="multilevel"/>
    <w:tmpl w:val="6BD8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B50989"/>
    <w:multiLevelType w:val="multilevel"/>
    <w:tmpl w:val="21C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BB50C3"/>
    <w:multiLevelType w:val="multilevel"/>
    <w:tmpl w:val="3D8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850EA5"/>
    <w:multiLevelType w:val="multilevel"/>
    <w:tmpl w:val="17B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9A056E"/>
    <w:multiLevelType w:val="multilevel"/>
    <w:tmpl w:val="D4A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6878A7"/>
    <w:multiLevelType w:val="multilevel"/>
    <w:tmpl w:val="ECF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F45849"/>
    <w:multiLevelType w:val="multilevel"/>
    <w:tmpl w:val="52F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E77F5B"/>
    <w:multiLevelType w:val="multilevel"/>
    <w:tmpl w:val="29F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C84429E"/>
    <w:multiLevelType w:val="multilevel"/>
    <w:tmpl w:val="ED7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CA306B6"/>
    <w:multiLevelType w:val="multilevel"/>
    <w:tmpl w:val="607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DA40C8"/>
    <w:multiLevelType w:val="multilevel"/>
    <w:tmpl w:val="DD94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8E4B1C"/>
    <w:multiLevelType w:val="multilevel"/>
    <w:tmpl w:val="48A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17C6A58"/>
    <w:multiLevelType w:val="multilevel"/>
    <w:tmpl w:val="EB9C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972E83"/>
    <w:multiLevelType w:val="multilevel"/>
    <w:tmpl w:val="42A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4F06384"/>
    <w:multiLevelType w:val="multilevel"/>
    <w:tmpl w:val="02E0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9940356"/>
    <w:multiLevelType w:val="multilevel"/>
    <w:tmpl w:val="2FAA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A596E4C"/>
    <w:multiLevelType w:val="multilevel"/>
    <w:tmpl w:val="4CC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B065961"/>
    <w:multiLevelType w:val="multilevel"/>
    <w:tmpl w:val="57E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DD2640"/>
    <w:multiLevelType w:val="multilevel"/>
    <w:tmpl w:val="4898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0A51C8"/>
    <w:multiLevelType w:val="multilevel"/>
    <w:tmpl w:val="6B4A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6216BC"/>
    <w:multiLevelType w:val="multilevel"/>
    <w:tmpl w:val="CE8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FD7243D"/>
    <w:multiLevelType w:val="multilevel"/>
    <w:tmpl w:val="04A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53"/>
  </w:num>
  <w:num w:numId="3">
    <w:abstractNumId w:val="56"/>
  </w:num>
  <w:num w:numId="4">
    <w:abstractNumId w:val="57"/>
  </w:num>
  <w:num w:numId="5">
    <w:abstractNumId w:val="64"/>
  </w:num>
  <w:num w:numId="6">
    <w:abstractNumId w:val="48"/>
  </w:num>
  <w:num w:numId="7">
    <w:abstractNumId w:val="14"/>
  </w:num>
  <w:num w:numId="8">
    <w:abstractNumId w:val="15"/>
  </w:num>
  <w:num w:numId="9">
    <w:abstractNumId w:val="11"/>
  </w:num>
  <w:num w:numId="10">
    <w:abstractNumId w:val="73"/>
  </w:num>
  <w:num w:numId="11">
    <w:abstractNumId w:val="50"/>
  </w:num>
  <w:num w:numId="12">
    <w:abstractNumId w:val="72"/>
  </w:num>
  <w:num w:numId="13">
    <w:abstractNumId w:val="28"/>
  </w:num>
  <w:num w:numId="14">
    <w:abstractNumId w:val="27"/>
  </w:num>
  <w:num w:numId="15">
    <w:abstractNumId w:val="55"/>
  </w:num>
  <w:num w:numId="16">
    <w:abstractNumId w:val="59"/>
  </w:num>
  <w:num w:numId="17">
    <w:abstractNumId w:val="6"/>
  </w:num>
  <w:num w:numId="18">
    <w:abstractNumId w:val="7"/>
  </w:num>
  <w:num w:numId="19">
    <w:abstractNumId w:val="41"/>
  </w:num>
  <w:num w:numId="20">
    <w:abstractNumId w:val="49"/>
  </w:num>
  <w:num w:numId="21">
    <w:abstractNumId w:val="66"/>
  </w:num>
  <w:num w:numId="22">
    <w:abstractNumId w:val="10"/>
  </w:num>
  <w:num w:numId="23">
    <w:abstractNumId w:val="3"/>
  </w:num>
  <w:num w:numId="24">
    <w:abstractNumId w:val="37"/>
  </w:num>
  <w:num w:numId="25">
    <w:abstractNumId w:val="32"/>
  </w:num>
  <w:num w:numId="26">
    <w:abstractNumId w:val="18"/>
  </w:num>
  <w:num w:numId="27">
    <w:abstractNumId w:val="75"/>
  </w:num>
  <w:num w:numId="28">
    <w:abstractNumId w:val="35"/>
  </w:num>
  <w:num w:numId="29">
    <w:abstractNumId w:val="77"/>
  </w:num>
  <w:num w:numId="30">
    <w:abstractNumId w:val="68"/>
  </w:num>
  <w:num w:numId="31">
    <w:abstractNumId w:val="36"/>
  </w:num>
  <w:num w:numId="32">
    <w:abstractNumId w:val="19"/>
  </w:num>
  <w:num w:numId="33">
    <w:abstractNumId w:val="69"/>
  </w:num>
  <w:num w:numId="34">
    <w:abstractNumId w:val="24"/>
  </w:num>
  <w:num w:numId="35">
    <w:abstractNumId w:val="1"/>
  </w:num>
  <w:num w:numId="36">
    <w:abstractNumId w:val="42"/>
  </w:num>
  <w:num w:numId="37">
    <w:abstractNumId w:val="63"/>
  </w:num>
  <w:num w:numId="38">
    <w:abstractNumId w:val="12"/>
  </w:num>
  <w:num w:numId="39">
    <w:abstractNumId w:val="16"/>
  </w:num>
  <w:num w:numId="40">
    <w:abstractNumId w:val="23"/>
  </w:num>
  <w:num w:numId="41">
    <w:abstractNumId w:val="0"/>
  </w:num>
  <w:num w:numId="42">
    <w:abstractNumId w:val="33"/>
  </w:num>
  <w:num w:numId="43">
    <w:abstractNumId w:val="74"/>
  </w:num>
  <w:num w:numId="44">
    <w:abstractNumId w:val="38"/>
  </w:num>
  <w:num w:numId="45">
    <w:abstractNumId w:val="8"/>
  </w:num>
  <w:num w:numId="46">
    <w:abstractNumId w:val="71"/>
  </w:num>
  <w:num w:numId="47">
    <w:abstractNumId w:val="25"/>
  </w:num>
  <w:num w:numId="48">
    <w:abstractNumId w:val="67"/>
  </w:num>
  <w:num w:numId="49">
    <w:abstractNumId w:val="40"/>
  </w:num>
  <w:num w:numId="50">
    <w:abstractNumId w:val="61"/>
  </w:num>
  <w:num w:numId="51">
    <w:abstractNumId w:val="5"/>
  </w:num>
  <w:num w:numId="52">
    <w:abstractNumId w:val="29"/>
  </w:num>
  <w:num w:numId="53">
    <w:abstractNumId w:val="39"/>
  </w:num>
  <w:num w:numId="54">
    <w:abstractNumId w:val="45"/>
  </w:num>
  <w:num w:numId="55">
    <w:abstractNumId w:val="54"/>
  </w:num>
  <w:num w:numId="56">
    <w:abstractNumId w:val="17"/>
  </w:num>
  <w:num w:numId="57">
    <w:abstractNumId w:val="58"/>
  </w:num>
  <w:num w:numId="58">
    <w:abstractNumId w:val="20"/>
  </w:num>
  <w:num w:numId="59">
    <w:abstractNumId w:val="13"/>
  </w:num>
  <w:num w:numId="60">
    <w:abstractNumId w:val="44"/>
  </w:num>
  <w:num w:numId="61">
    <w:abstractNumId w:val="4"/>
  </w:num>
  <w:num w:numId="62">
    <w:abstractNumId w:val="70"/>
  </w:num>
  <w:num w:numId="63">
    <w:abstractNumId w:val="47"/>
  </w:num>
  <w:num w:numId="64">
    <w:abstractNumId w:val="65"/>
  </w:num>
  <w:num w:numId="65">
    <w:abstractNumId w:val="76"/>
  </w:num>
  <w:num w:numId="66">
    <w:abstractNumId w:val="9"/>
  </w:num>
  <w:num w:numId="67">
    <w:abstractNumId w:val="46"/>
  </w:num>
  <w:num w:numId="68">
    <w:abstractNumId w:val="51"/>
  </w:num>
  <w:num w:numId="69">
    <w:abstractNumId w:val="26"/>
  </w:num>
  <w:num w:numId="70">
    <w:abstractNumId w:val="2"/>
  </w:num>
  <w:num w:numId="71">
    <w:abstractNumId w:val="43"/>
  </w:num>
  <w:num w:numId="72">
    <w:abstractNumId w:val="31"/>
  </w:num>
  <w:num w:numId="73">
    <w:abstractNumId w:val="62"/>
  </w:num>
  <w:num w:numId="74">
    <w:abstractNumId w:val="34"/>
  </w:num>
  <w:num w:numId="75">
    <w:abstractNumId w:val="21"/>
  </w:num>
  <w:num w:numId="76">
    <w:abstractNumId w:val="30"/>
  </w:num>
  <w:num w:numId="77">
    <w:abstractNumId w:val="22"/>
  </w:num>
  <w:num w:numId="78">
    <w:abstractNumId w:val="6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31"/>
    <w:rsid w:val="00AF2A0A"/>
    <w:rsid w:val="00B00D88"/>
    <w:rsid w:val="00E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5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5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DinhTho</dc:creator>
  <cp:lastModifiedBy>DinhTho</cp:lastModifiedBy>
  <cp:revision>1</cp:revision>
  <dcterms:created xsi:type="dcterms:W3CDTF">2014-12-08T03:50:00Z</dcterms:created>
  <dcterms:modified xsi:type="dcterms:W3CDTF">2014-12-08T03:56:00Z</dcterms:modified>
</cp:coreProperties>
</file>